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rPr>
          <w:rFonts w:hint="default" w:ascii="黑体" w:hAnsi="黑体" w:eastAsia="黑体" w:cs="黑体"/>
        </w:rPr>
      </w:pPr>
      <w:r>
        <w:rPr>
          <w:rFonts w:ascii="黑体" w:hAnsi="黑体" w:eastAsia="黑体" w:cs="黑体"/>
        </w:rPr>
        <w:t>附件2</w:t>
      </w:r>
    </w:p>
    <w:p>
      <w:pPr>
        <w:pStyle w:val="16"/>
        <w:widowControl/>
        <w:spacing w:before="156" w:beforeLines="5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普通高等学校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学历继续教育人才培养方案</w:t>
      </w:r>
    </w:p>
    <w:p>
      <w:pPr>
        <w:pStyle w:val="16"/>
        <w:widowControl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编制工作指南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立德树人、育人为本，加强和改进思想政治教育，推进思政课和课程思政建设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二、主要内容及要求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（一）专业基本信息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（二）培养目标与人才规格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结合学校办学定位和专业特色，科学合理确定符合经济社会发展需求的专业培养目标和培养规格，明确学生应达到的知识、能力和素质要求。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（三）修业年限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高起专和专升本最低修业年限2.5年，最高修业年限不超过5年；高起本最低修业年限5年，最高修业年限不超过8年。高校可按上述要求，具体确定本校各专业修业年限。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（四）课程设置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课程设置一般分为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公共基础课、专业课、职业能力拓展课</w:t>
      </w:r>
      <w:r>
        <w:rPr>
          <w:rFonts w:hint="eastAsia" w:ascii="仿宋" w:hAnsi="仿宋" w:eastAsia="仿宋" w:cs="仿宋"/>
          <w:sz w:val="32"/>
          <w:szCs w:val="32"/>
        </w:rPr>
        <w:t>，高校也可根据实际情况自行确定课程分类。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1.公共基础课。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按照国家有关规定开足开齐思想政治理论课、心理健康课等</w:t>
      </w:r>
      <w:r>
        <w:rPr>
          <w:rFonts w:hint="eastAsia" w:ascii="仿宋" w:hAnsi="仿宋" w:eastAsia="仿宋" w:cs="仿宋"/>
          <w:sz w:val="32"/>
          <w:szCs w:val="32"/>
        </w:rPr>
        <w:t>。参照现行《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普通高等学校本科专业类教学质量国家标准》《高等职业学校专业教学标准》</w:t>
      </w:r>
      <w:r>
        <w:rPr>
          <w:rFonts w:hint="eastAsia" w:ascii="仿宋" w:hAnsi="仿宋" w:eastAsia="仿宋" w:cs="仿宋"/>
          <w:sz w:val="32"/>
          <w:szCs w:val="32"/>
        </w:rPr>
        <w:t>相关规定开设其他公共基础课。要加强公共基础课与专业课的衔接。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落实实验实训、毕业论文（设计）以及实验实习等环节要求。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3.职业能力拓展课。学校可根据实际情况，结合学生的职业发展需求，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选择开设部分职业素养或职业能力提升类课程。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专升本专业须结合专科课程体系要求，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按照本科课程设置要求合理确定所开设课程和内容，</w:t>
      </w:r>
      <w:r>
        <w:rPr>
          <w:rFonts w:hint="eastAsia" w:ascii="仿宋" w:hAnsi="仿宋" w:eastAsia="仿宋" w:cs="仿宋"/>
          <w:sz w:val="32"/>
          <w:szCs w:val="32"/>
        </w:rPr>
        <w:t>确保相关课程的贯通衔接。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（五）教学形式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要结合学科专业特点和学生实际情况，采取灵活多样的形式实施教学。要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合理确定线上（含直播教学）与线下教学形式比例，线下教学原则上不少于人才培养方案规定总学时的20%。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（六）学时、学分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color w:val="0000FF"/>
          <w:sz w:val="32"/>
          <w:szCs w:val="32"/>
        </w:rPr>
        <w:t>高起专、专升本总学时数原则上不低于1600学时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高起本总学时数不低于3000学时。</w:t>
      </w:r>
      <w:r>
        <w:rPr>
          <w:rFonts w:hint="eastAsia" w:ascii="仿宋" w:hAnsi="仿宋" w:eastAsia="仿宋" w:cs="仿宋"/>
          <w:sz w:val="32"/>
          <w:szCs w:val="32"/>
        </w:rPr>
        <w:t>实行学分制的，一般以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16—18学时计为1个学分。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鼓励高校以国家和地方“学分银行”制度为基础，制订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本校学历继续教育学分认定与转换规则，</w:t>
      </w:r>
      <w:r>
        <w:rPr>
          <w:rFonts w:hint="eastAsia" w:ascii="仿宋" w:hAnsi="仿宋" w:eastAsia="仿宋" w:cs="仿宋"/>
          <w:sz w:val="32"/>
          <w:szCs w:val="32"/>
        </w:rPr>
        <w:t>促进学历继续教育与非学历教育、普通本科教育、高等职业教育之间的学习成果认定、积累与转换。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（七）考核与毕业要求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课程考核要立足课程特点和基本要求，将过程性考核（平时成绩）与终结性考核（期末考试）相结合。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公共基础课和专业课的期末考试原则上应为闭卷考试。课程期末考试成绩占总成绩比例原则上不低于40%，不超过 80%。</w:t>
      </w:r>
      <w:r>
        <w:rPr>
          <w:rFonts w:hint="eastAsia" w:ascii="仿宋" w:hAnsi="仿宋" w:eastAsia="仿宋" w:cs="仿宋"/>
          <w:sz w:val="32"/>
          <w:szCs w:val="32"/>
        </w:rPr>
        <w:t>应参照本校全日制学生毕业要求，结合成人在职学习特点等合理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确定毕业要求。本科专业还应明确该学士学位授予条件。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（八）教学进程安排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（九）教学实施保障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主要包括教材选用、师资队伍、教学及实验实训条件、数字化资源、质量管理、经费保障等方面。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专业人才培养方案制（修）订工作应按照以下基本程序进行。   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（一）规划与设计。</w:t>
      </w:r>
      <w:r>
        <w:rPr>
          <w:rFonts w:hint="eastAsia" w:ascii="仿宋" w:hAnsi="仿宋" w:eastAsia="仿宋" w:cs="仿宋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（二）调研与分析。</w:t>
      </w:r>
      <w:r>
        <w:rPr>
          <w:rFonts w:hint="eastAsia" w:ascii="仿宋" w:hAnsi="仿宋" w:eastAsia="仿宋" w:cs="仿宋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（三）起草与审定。</w:t>
      </w:r>
      <w:r>
        <w:rPr>
          <w:rFonts w:hint="eastAsia" w:ascii="仿宋" w:hAnsi="仿宋" w:eastAsia="仿宋" w:cs="仿宋"/>
          <w:sz w:val="32"/>
          <w:szCs w:val="32"/>
        </w:rPr>
        <w:t>学校应分专业组织起草人才培养方案，组织专家进行论证，提交学校学术（教学）委员会审定。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（四）发布与更新。</w:t>
      </w:r>
      <w:r>
        <w:rPr>
          <w:rFonts w:hint="eastAsia" w:ascii="仿宋" w:hAnsi="仿宋" w:eastAsia="仿宋" w:cs="仿宋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成人高等学校、开放大学举办的高等学历继续教育参照本指南执行。</w:t>
      </w:r>
    </w:p>
    <w:p>
      <w:pPr>
        <w:pStyle w:val="2"/>
        <w:ind w:firstLine="600"/>
        <w:rPr>
          <w:rFonts w:ascii="黑体" w:hAnsi="黑体" w:eastAsia="黑体" w:cs="黑体"/>
          <w:bCs/>
          <w:sz w:val="30"/>
          <w:szCs w:val="30"/>
        </w:rPr>
      </w:pPr>
    </w:p>
    <w:p>
      <w:pPr>
        <w:pStyle w:val="2"/>
        <w:ind w:firstLine="600"/>
        <w:rPr>
          <w:rFonts w:ascii="黑体" w:hAnsi="黑体" w:eastAsia="黑体" w:cs="黑体"/>
          <w:bCs/>
          <w:sz w:val="30"/>
          <w:szCs w:val="30"/>
        </w:rPr>
      </w:pPr>
    </w:p>
    <w:p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pStyle w:val="2"/>
        <w:ind w:firstLine="400"/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高起专（专升本）专业教学进程表参考样式</w:t>
      </w:r>
    </w:p>
    <w:tbl>
      <w:tblPr>
        <w:tblStyle w:val="7"/>
        <w:tblpPr w:leftFromText="180" w:rightFromText="180" w:vertAnchor="text" w:horzAnchor="page" w:tblpX="1830" w:tblpY="127"/>
        <w:tblOverlap w:val="never"/>
        <w:tblW w:w="83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验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终结性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开卷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0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践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教</w:t>
            </w:r>
          </w:p>
          <w:p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环</w:t>
            </w:r>
          </w:p>
          <w:p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hint="eastAsia" w:ascii="Times New Roman" w:hAnsi="宋体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  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百分比（%）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pStyle w:val="2"/>
        <w:ind w:firstLine="400"/>
      </w:pPr>
      <w:bookmarkStart w:id="1" w:name="_GoBack"/>
      <w:bookmarkEnd w:id="1"/>
    </w:p>
    <w:p>
      <w:pPr>
        <w:widowControl/>
        <w:numPr>
          <w:ilvl w:val="255"/>
          <w:numId w:val="0"/>
        </w:numPr>
        <w:spacing w:line="560" w:lineRule="exact"/>
        <w:ind w:firstLine="211" w:firstLineChars="100"/>
        <w:rPr>
          <w:rFonts w:ascii="Times New Roman" w:hAnsi="宋体" w:eastAsia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hint="eastAsia" w:ascii="Times New Roman" w:hAnsi="宋体"/>
          <w:bCs/>
        </w:rPr>
        <w:t>1.课程类别</w:t>
      </w:r>
      <w:r>
        <w:rPr>
          <w:rFonts w:hint="eastAsia" w:ascii="Times New Roman" w:hAnsi="宋体" w:cs="Times New Roman"/>
          <w:bCs/>
        </w:rPr>
        <w:t>：高校也可根据实际情况自行确定课程分类。</w:t>
      </w:r>
    </w:p>
    <w:p>
      <w:pPr>
        <w:ind w:firstLine="840" w:firstLineChars="4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2.学分与学时换算，按照1学分16—18学时进行换算。</w:t>
      </w:r>
    </w:p>
    <w:p>
      <w:pPr>
        <w:ind w:firstLine="840" w:firstLineChars="4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3.请在考核方式中选择“</w:t>
      </w:r>
      <w:r>
        <w:rPr>
          <w:rFonts w:ascii="Times New Roman" w:hAnsi="宋体"/>
          <w:bCs/>
        </w:rPr>
        <w:t>√</w:t>
      </w:r>
      <w:r>
        <w:rPr>
          <w:rFonts w:hint="eastAsia" w:ascii="Times New Roman" w:hAnsi="宋体"/>
          <w:bCs/>
        </w:rPr>
        <w:t>”填写。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24" w:lineRule="auto"/>
        <w:jc w:val="center"/>
        <w:rPr>
          <w:rFonts w:ascii="方正小标宋简体" w:hAnsi="方正小标宋简体" w:eastAsia="方正小标宋简体" w:cs="方正小标宋简体"/>
          <w:bCs/>
          <w:sz w:val="10"/>
          <w:szCs w:val="10"/>
        </w:rPr>
      </w:pPr>
    </w:p>
    <w:tbl>
      <w:tblPr>
        <w:tblStyle w:val="7"/>
        <w:tblpPr w:leftFromText="180" w:rightFromText="180" w:vertAnchor="text" w:horzAnchor="page" w:tblpX="639" w:tblpY="1167"/>
        <w:tblOverlap w:val="never"/>
        <w:tblW w:w="6243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403"/>
        <w:gridCol w:w="499"/>
        <w:gridCol w:w="24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6"/>
        <w:gridCol w:w="407"/>
        <w:gridCol w:w="407"/>
        <w:gridCol w:w="407"/>
        <w:gridCol w:w="407"/>
        <w:gridCol w:w="407"/>
        <w:gridCol w:w="4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4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523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tblHeader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上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下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验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Times New Roman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4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七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八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九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十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过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性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考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核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终结性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考核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tblHeader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开卷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职业能力拓展</w:t>
            </w: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  <w:r>
              <w:rPr>
                <w:rFonts w:hint="eastAsia" w:ascii="Times New Roman" w:hAnsi="宋体"/>
                <w:sz w:val="18"/>
                <w:szCs w:val="18"/>
              </w:rPr>
              <w:t>践教学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环节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</w:t>
            </w:r>
            <w:r>
              <w:rPr>
                <w:rFonts w:ascii="Times New Roman" w:hAnsi="宋体"/>
                <w:sz w:val="18"/>
                <w:szCs w:val="18"/>
              </w:rPr>
              <w:t>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毕业实习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毕业论文（设计）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（可根据需要添行）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6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高起本专业教学进程表参考样式</w:t>
      </w:r>
    </w:p>
    <w:p>
      <w:pPr>
        <w:widowControl/>
        <w:numPr>
          <w:ilvl w:val="255"/>
          <w:numId w:val="0"/>
        </w:numPr>
        <w:spacing w:line="280" w:lineRule="atLeast"/>
        <w:rPr>
          <w:rFonts w:ascii="Times New Roman" w:hAnsi="宋体" w:eastAsia="宋体"/>
          <w:bCs/>
        </w:rPr>
      </w:pPr>
      <w:r>
        <w:rPr>
          <w:rFonts w:ascii="Times New Roman" w:hAnsi="宋体"/>
          <w:b/>
        </w:rPr>
        <w:t>备注：</w:t>
      </w:r>
      <w:r>
        <w:rPr>
          <w:rFonts w:hint="eastAsia" w:ascii="Times New Roman" w:hAnsi="宋体"/>
          <w:bCs/>
        </w:rPr>
        <w:t>1.课程类别</w:t>
      </w:r>
      <w:r>
        <w:rPr>
          <w:rFonts w:hint="eastAsia" w:ascii="Times New Roman" w:hAnsi="宋体" w:cs="Times New Roman"/>
          <w:bCs/>
        </w:rPr>
        <w:t>：高校也可根据实际情况自行确定课程分类。</w:t>
      </w:r>
    </w:p>
    <w:p>
      <w:pPr>
        <w:spacing w:line="280" w:lineRule="atLeast"/>
        <w:ind w:firstLine="630" w:firstLineChars="3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2.学分与学时换算，按照1学分16—18学时进行换算。</w:t>
      </w:r>
    </w:p>
    <w:p>
      <w:pPr>
        <w:spacing w:line="280" w:lineRule="atLeast"/>
        <w:ind w:firstLine="630" w:firstLineChars="3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3.请在考核方式中选择“</w:t>
      </w:r>
      <w:r>
        <w:rPr>
          <w:rFonts w:ascii="Times New Roman" w:hAnsi="宋体"/>
          <w:bCs/>
        </w:rPr>
        <w:t>√</w:t>
      </w:r>
      <w:r>
        <w:rPr>
          <w:rFonts w:hint="eastAsia" w:ascii="Times New Roman" w:hAnsi="宋体"/>
          <w:bCs/>
        </w:rPr>
        <w:t>”填写。</w:t>
      </w:r>
    </w:p>
    <w:p>
      <w:pPr>
        <w:pStyle w:val="2"/>
        <w:ind w:firstLine="0" w:firstLineChars="0"/>
        <w:rPr>
          <w:rFonts w:hAnsi="宋体"/>
          <w:bCs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53F29-634F-47AE-A35A-0BBF05653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3E5B023-C290-4C81-BE24-E89AC78315BE}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B05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509376-EEC7-4ABA-B482-BAE286B192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322E44-22BA-4E05-AB39-2FED7F5F7D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44F2C0-7F98-48E9-8DD2-40C09C27CE7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4A7C08C-1E0A-49D7-97AE-4CEC175438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Y2JiMzk5Mzg1OGU3MDI5N2YyNzRhZTVlNjliZjMifQ=="/>
  </w:docVars>
  <w:rsids>
    <w:rsidRoot w:val="610722B5"/>
    <w:rsid w:val="0003790D"/>
    <w:rsid w:val="00217A4F"/>
    <w:rsid w:val="00374957"/>
    <w:rsid w:val="004105D6"/>
    <w:rsid w:val="00665C29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5FFD5C66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4A148C"/>
      <w:u w:val="single"/>
    </w:rPr>
  </w:style>
  <w:style w:type="character" w:styleId="12">
    <w:name w:val="Emphasis"/>
    <w:basedOn w:val="9"/>
    <w:qFormat/>
    <w:uiPriority w:val="0"/>
    <w:rPr>
      <w:color w:val="F73131"/>
    </w:rPr>
  </w:style>
  <w:style w:type="character" w:styleId="13">
    <w:name w:val="Hyperlink"/>
    <w:basedOn w:val="9"/>
    <w:qFormat/>
    <w:uiPriority w:val="0"/>
    <w:rPr>
      <w:color w:val="001BA0"/>
      <w:u w:val="single"/>
    </w:rPr>
  </w:style>
  <w:style w:type="character" w:styleId="14">
    <w:name w:val="HTML Cite"/>
    <w:basedOn w:val="9"/>
    <w:qFormat/>
    <w:uiPriority w:val="0"/>
    <w:rPr>
      <w:color w:val="006D21"/>
    </w:rPr>
  </w:style>
  <w:style w:type="paragraph" w:customStyle="1" w:styleId="15">
    <w:name w:val="p1"/>
    <w:basedOn w:val="1"/>
    <w:qFormat/>
    <w:uiPriority w:val="0"/>
    <w:pPr>
      <w:spacing w:line="560" w:lineRule="atLeast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paragraph" w:customStyle="1" w:styleId="16">
    <w:name w:val="p3"/>
    <w:basedOn w:val="1"/>
    <w:qFormat/>
    <w:uiPriority w:val="0"/>
    <w:pPr>
      <w:spacing w:line="560" w:lineRule="atLeast"/>
      <w:jc w:val="center"/>
    </w:pPr>
    <w:rPr>
      <w:rFonts w:hint="eastAsia" w:ascii="pingfang sc" w:hAnsi="pingfang sc" w:eastAsia="pingfang sc" w:cs="Times New Roman"/>
      <w:kern w:val="0"/>
      <w:sz w:val="40"/>
      <w:szCs w:val="40"/>
    </w:rPr>
  </w:style>
  <w:style w:type="paragraph" w:customStyle="1" w:styleId="17">
    <w:name w:val="p4"/>
    <w:basedOn w:val="1"/>
    <w:qFormat/>
    <w:uiPriority w:val="0"/>
    <w:pPr>
      <w:spacing w:line="560" w:lineRule="atLeast"/>
    </w:pPr>
    <w:rPr>
      <w:rFonts w:ascii="Helvetica" w:hAnsi="Helvetica" w:eastAsia="Helvetica" w:cs="Times New Roman"/>
      <w:kern w:val="0"/>
      <w:sz w:val="32"/>
      <w:szCs w:val="32"/>
    </w:rPr>
  </w:style>
  <w:style w:type="paragraph" w:customStyle="1" w:styleId="18">
    <w:name w:val="p5"/>
    <w:basedOn w:val="1"/>
    <w:qFormat/>
    <w:uiPriority w:val="0"/>
    <w:pPr>
      <w:spacing w:line="560" w:lineRule="atLeast"/>
      <w:ind w:firstLine="640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paragraph" w:customStyle="1" w:styleId="19">
    <w:name w:val="p6"/>
    <w:basedOn w:val="1"/>
    <w:qFormat/>
    <w:uiPriority w:val="0"/>
    <w:pPr>
      <w:spacing w:line="560" w:lineRule="atLeast"/>
      <w:ind w:firstLine="642"/>
    </w:pPr>
    <w:rPr>
      <w:rFonts w:ascii="pingfang sc" w:hAnsi="pingfang sc" w:eastAsia="pingfang sc" w:cs="Times New Roman"/>
      <w:kern w:val="0"/>
      <w:sz w:val="32"/>
      <w:szCs w:val="32"/>
    </w:rPr>
  </w:style>
  <w:style w:type="character" w:customStyle="1" w:styleId="20">
    <w:name w:val="s2"/>
    <w:basedOn w:val="9"/>
    <w:qFormat/>
    <w:uiPriority w:val="0"/>
    <w:rPr>
      <w:rFonts w:hint="eastAsia" w:ascii="pingfang sc" w:hAnsi="pingfang sc" w:eastAsia="pingfang sc" w:cs="pingfang sc"/>
      <w:sz w:val="21"/>
      <w:szCs w:val="21"/>
    </w:rPr>
  </w:style>
  <w:style w:type="paragraph" w:customStyle="1" w:styleId="21">
    <w:name w:val="p7"/>
    <w:basedOn w:val="1"/>
    <w:qFormat/>
    <w:uiPriority w:val="0"/>
    <w:pPr>
      <w:spacing w:line="560" w:lineRule="atLeast"/>
      <w:ind w:firstLine="640"/>
      <w:jc w:val="left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character" w:customStyle="1" w:styleId="22">
    <w:name w:val="s1"/>
    <w:basedOn w:val="9"/>
    <w:qFormat/>
    <w:uiPriority w:val="0"/>
    <w:rPr>
      <w:rFonts w:hint="default" w:ascii="Helvetica" w:hAnsi="Helvetica" w:eastAsia="Helvetica" w:cs="Helvetica"/>
      <w:sz w:val="32"/>
      <w:szCs w:val="32"/>
    </w:rPr>
  </w:style>
  <w:style w:type="character" w:customStyle="1" w:styleId="23">
    <w:name w:val="c-icon28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hover26"/>
    <w:basedOn w:val="9"/>
    <w:qFormat/>
    <w:uiPriority w:val="0"/>
    <w:rPr>
      <w:color w:val="315EFB"/>
    </w:rPr>
  </w:style>
  <w:style w:type="character" w:customStyle="1" w:styleId="26">
    <w:name w:val="content-right_8zs401"/>
    <w:basedOn w:val="9"/>
    <w:qFormat/>
    <w:uiPriority w:val="0"/>
  </w:style>
  <w:style w:type="character" w:customStyle="1" w:styleId="27">
    <w:name w:val="hover20"/>
    <w:basedOn w:val="9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2208</Words>
  <Characters>2237</Characters>
  <Lines>23</Lines>
  <Paragraphs>6</Paragraphs>
  <TotalTime>37</TotalTime>
  <ScaleCrop>false</ScaleCrop>
  <LinksUpToDate>false</LinksUpToDate>
  <CharactersWithSpaces>2258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2022-08-16T05:45:00Z</dcterms:created>
  <dc:creator>ZHANGLEI</dc:creator>
  <cp:lastModifiedBy>Administrator</cp:lastModifiedBy>
  <cp:lastPrinted>2022-07-12T11:02:00Z</cp:lastPrinted>
  <dcterms:modified xsi:type="dcterms:W3CDTF">2022-08-22T02:58:22Z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1B316DE96C8842D4BF4048716A1326CE</vt:lpwstr>
  </property>
</Properties>
</file>